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731A2C1D" w:rsidR="00567628" w:rsidRDefault="003D7F8A" w:rsidP="003D7F8A">
      <w:pPr>
        <w:pStyle w:val="2"/>
        <w:rPr>
          <w:lang w:val="en-US"/>
        </w:rPr>
      </w:pPr>
      <w:r>
        <w:rPr>
          <w:rFonts w:hint="eastAsia"/>
        </w:rPr>
        <w:t>学習指導案</w:t>
      </w:r>
      <w:r>
        <w:rPr>
          <w:lang w:val="en-US"/>
        </w:rPr>
        <w:t>:</w:t>
      </w:r>
      <w:r w:rsidR="00D00623">
        <w:rPr>
          <w:rFonts w:hint="eastAsia"/>
          <w:lang w:val="en-US"/>
        </w:rPr>
        <w:t>情報</w:t>
      </w:r>
      <w:bookmarkStart w:id="0" w:name="_hsfpbg1cnynq" w:colFirst="0" w:colLast="0"/>
      <w:bookmarkStart w:id="1" w:name="_zae259w452bl" w:colFirst="0" w:colLast="0"/>
      <w:bookmarkEnd w:id="0"/>
      <w:bookmarkEnd w:id="1"/>
      <w:r w:rsidR="00B4766C">
        <w:rPr>
          <w:rFonts w:hint="eastAsia"/>
          <w:lang w:val="en-US"/>
        </w:rPr>
        <w:t>通信ネットワークの仕組み</w:t>
      </w:r>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747632BE" w:rsidR="003D7F8A" w:rsidRDefault="00B4766C" w:rsidP="00A446F5">
            <w:pPr>
              <w:ind w:leftChars="100" w:left="220"/>
            </w:pPr>
            <w:r w:rsidRPr="00B4766C">
              <w:rPr>
                <w:rFonts w:hint="eastAsia"/>
              </w:rPr>
              <w:t>情報</w:t>
            </w:r>
            <w:r w:rsidR="00356F0F">
              <w:rPr>
                <w:rFonts w:hint="eastAsia"/>
              </w:rPr>
              <w:t>セキュリティ</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33F87085" w:rsidR="003D7F8A" w:rsidRDefault="00D00623" w:rsidP="00A446F5">
            <w:r>
              <w:rPr>
                <w:rFonts w:hint="eastAsia"/>
                <w:color w:val="000000"/>
              </w:rPr>
              <w:t>情報通信ネットワークとデータの活用</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56402947" w14:textId="64355F27" w:rsidR="00EA4BD5" w:rsidRPr="00EA4BD5" w:rsidRDefault="00356F0F" w:rsidP="00EE628A">
      <w:pPr>
        <w:pStyle w:val="ae"/>
        <w:numPr>
          <w:ilvl w:val="0"/>
          <w:numId w:val="3"/>
        </w:numPr>
        <w:ind w:leftChars="0"/>
      </w:pPr>
      <w:r>
        <w:rPr>
          <w:rFonts w:hint="eastAsia"/>
        </w:rPr>
        <w:t>情報セキュリティの技術的な面を理解する。</w:t>
      </w:r>
    </w:p>
    <w:p w14:paraId="5C0ABB1D" w14:textId="43E4832C" w:rsidR="003D7F8A" w:rsidRDefault="00B4766C" w:rsidP="00EA4BD5">
      <w:pPr>
        <w:pStyle w:val="ae"/>
        <w:numPr>
          <w:ilvl w:val="0"/>
          <w:numId w:val="3"/>
        </w:numPr>
        <w:ind w:leftChars="0"/>
      </w:pPr>
      <w:r>
        <w:rPr>
          <w:rFonts w:hint="eastAsia"/>
        </w:rPr>
        <w:t>自宅</w:t>
      </w:r>
      <w:r w:rsidR="00356F0F">
        <w:rPr>
          <w:rFonts w:hint="eastAsia"/>
        </w:rPr>
        <w:t>や学校に限らず、カフェやホテルなど外出先でも安全に情報通信を行</w:t>
      </w:r>
      <w:r w:rsidR="00B36E99">
        <w:rPr>
          <w:rFonts w:hint="eastAsia"/>
        </w:rPr>
        <w:t>えるようになる</w:t>
      </w:r>
      <w:r w:rsidR="00356F0F">
        <w:rPr>
          <w:rFonts w:hint="eastAsia"/>
        </w:rPr>
        <w:t>。</w:t>
      </w:r>
    </w:p>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30EEACBB" w14:textId="77777777" w:rsidR="00B36E99" w:rsidRPr="00B36E99" w:rsidRDefault="00B36E99" w:rsidP="00B36E99">
            <w:pPr>
              <w:pStyle w:val="ae"/>
              <w:numPr>
                <w:ilvl w:val="0"/>
                <w:numId w:val="7"/>
              </w:numPr>
              <w:ind w:leftChars="0"/>
            </w:pPr>
            <w:r>
              <w:rPr>
                <w:rFonts w:hint="eastAsia"/>
                <w:lang w:val="en-US"/>
              </w:rPr>
              <w:t>情報セキュリティの技術的な面を理解する。</w:t>
            </w:r>
          </w:p>
          <w:p w14:paraId="6BD7A55B" w14:textId="076DF81F" w:rsidR="005E4830" w:rsidRDefault="00B36E99" w:rsidP="00B36E99">
            <w:pPr>
              <w:pStyle w:val="ae"/>
              <w:numPr>
                <w:ilvl w:val="0"/>
                <w:numId w:val="7"/>
              </w:numPr>
              <w:ind w:leftChars="0"/>
            </w:pPr>
            <w:r>
              <w:rPr>
                <w:rFonts w:hint="eastAsia"/>
                <w:lang w:val="en-US"/>
              </w:rPr>
              <w:t>暗号化と鍵の扱いについて理解する。</w:t>
            </w:r>
          </w:p>
        </w:tc>
        <w:tc>
          <w:tcPr>
            <w:tcW w:w="3384" w:type="dxa"/>
          </w:tcPr>
          <w:p w14:paraId="4AEF7B16" w14:textId="3BE5914B" w:rsidR="005E4830" w:rsidRDefault="00B36E99" w:rsidP="00EE628A">
            <w:pPr>
              <w:pStyle w:val="ae"/>
              <w:numPr>
                <w:ilvl w:val="0"/>
                <w:numId w:val="13"/>
              </w:numPr>
              <w:ind w:leftChars="0"/>
            </w:pPr>
            <w:r>
              <w:rPr>
                <w:rFonts w:hint="eastAsia"/>
              </w:rPr>
              <w:t>情報通信サービスを利用する際に、何が安全で何か危険か、また、どのような情報がログとして残る可能性があるかを思考できる。</w:t>
            </w:r>
          </w:p>
        </w:tc>
        <w:tc>
          <w:tcPr>
            <w:tcW w:w="3385" w:type="dxa"/>
          </w:tcPr>
          <w:p w14:paraId="70FF5286" w14:textId="73B3000F" w:rsidR="00B4766C" w:rsidRDefault="00B36E99" w:rsidP="00B4766C">
            <w:pPr>
              <w:pStyle w:val="ae"/>
              <w:numPr>
                <w:ilvl w:val="0"/>
                <w:numId w:val="14"/>
              </w:numPr>
              <w:ind w:leftChars="0"/>
            </w:pPr>
            <w:r>
              <w:rPr>
                <w:rFonts w:hint="eastAsia"/>
              </w:rPr>
              <w:t>情報セキュリティの発展に目を向け、人類が行ってきた情報を暗号化したり秘匿</w:t>
            </w:r>
            <w:r w:rsidR="00D502BA">
              <w:rPr>
                <w:rFonts w:hint="eastAsia"/>
              </w:rPr>
              <w:t>したりする</w:t>
            </w:r>
            <w:r>
              <w:rPr>
                <w:rFonts w:hint="eastAsia"/>
              </w:rPr>
              <w:t>方法、または解読する方法を調べることができる。</w:t>
            </w:r>
          </w:p>
          <w:p w14:paraId="6051CB8A" w14:textId="36DFE35E" w:rsidR="00FF1637" w:rsidRDefault="00FF1637" w:rsidP="00B4766C"/>
        </w:tc>
      </w:tr>
    </w:tbl>
    <w:p w14:paraId="00C805BE" w14:textId="1490EF1E" w:rsidR="005E4830" w:rsidRDefault="005E4830" w:rsidP="005E4830"/>
    <w:p w14:paraId="46B4F5C9" w14:textId="05C839DB" w:rsidR="000F36B0" w:rsidRDefault="000F36B0">
      <w:bookmarkStart w:id="2" w:name="_prktiycprsv2" w:colFirst="0" w:colLast="0"/>
      <w:bookmarkEnd w:id="2"/>
      <w:r>
        <w:br w:type="page"/>
      </w:r>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lastRenderedPageBreak/>
        <w:t xml:space="preserve">3. </w:t>
      </w:r>
      <w:r w:rsidR="00D62636">
        <w:t>指導と評価の計画</w:t>
      </w:r>
      <w:bookmarkStart w:id="5" w:name="_sp08lxgtumzr" w:colFirst="0" w:colLast="0"/>
      <w:bookmarkEnd w:id="5"/>
    </w:p>
    <w:p w14:paraId="42612C6F" w14:textId="7011DC82" w:rsidR="006D3F01" w:rsidRDefault="00956DFE">
      <w:bookmarkStart w:id="6" w:name="_80tapl9orwj6" w:colFirst="0" w:colLast="0"/>
      <w:bookmarkEnd w:id="6"/>
      <w:r>
        <w:rPr>
          <w:rFonts w:hint="eastAsia"/>
        </w:rPr>
        <w:t>本単元の標準時間は</w:t>
      </w:r>
      <w:r w:rsidR="00B4766C">
        <w:rPr>
          <w:rFonts w:hint="eastAsia"/>
        </w:rPr>
        <w:t>2</w:t>
      </w:r>
      <w:r>
        <w:rPr>
          <w:rFonts w:hint="eastAsia"/>
        </w:rPr>
        <w:t>時間とする。</w:t>
      </w:r>
      <w:r w:rsidR="00952787">
        <w:rPr>
          <w:rFonts w:hint="eastAsia"/>
        </w:rPr>
        <w:t>授業</w:t>
      </w:r>
      <w:r w:rsidR="00952787" w:rsidRPr="003B6EF1">
        <w:t>時間の</w:t>
      </w:r>
      <w:r w:rsidR="00952787">
        <w:rPr>
          <w:rFonts w:hint="eastAsia"/>
        </w:rPr>
        <w:t>指導の</w:t>
      </w:r>
      <w:r w:rsidR="00952787" w:rsidRPr="003B6EF1">
        <w:t>ねらい</w:t>
      </w:r>
      <w:r w:rsidR="00952787">
        <w:rPr>
          <w:rFonts w:hint="eastAsia"/>
        </w:rPr>
        <w:t>、生徒の</w:t>
      </w:r>
      <w:r w:rsidR="00952787" w:rsidRPr="003B6EF1">
        <w:t>学習活動</w:t>
      </w:r>
      <w:r w:rsidR="00952787">
        <w:rPr>
          <w:rFonts w:hint="eastAsia"/>
        </w:rPr>
        <w:t>及び</w:t>
      </w:r>
      <w:r w:rsidR="00952787" w:rsidRPr="003B6EF1">
        <w:t>重点、記録</w:t>
      </w:r>
      <w:r w:rsidR="00952787">
        <w:rPr>
          <w:rFonts w:hint="eastAsia"/>
        </w:rPr>
        <w:t>の有無、評価方法については次の表のとおりである。</w:t>
      </w:r>
    </w:p>
    <w:p w14:paraId="4CCBC170" w14:textId="77777777" w:rsidR="00956DFE" w:rsidRDefault="00956DFE"/>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0B62E7">
        <w:tc>
          <w:tcPr>
            <w:tcW w:w="435" w:type="dxa"/>
            <w:tcBorders>
              <w:bottom w:val="single" w:sz="18"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18"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18"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18"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18"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44D600CC" w14:textId="71CF8657" w:rsidR="00525CFD" w:rsidRDefault="00525CFD" w:rsidP="00525CFD">
            <w:pPr>
              <w:widowControl w:val="0"/>
              <w:pBdr>
                <w:top w:val="nil"/>
                <w:left w:val="nil"/>
                <w:bottom w:val="nil"/>
                <w:right w:val="nil"/>
                <w:between w:val="nil"/>
              </w:pBdr>
              <w:spacing w:line="240" w:lineRule="auto"/>
            </w:pPr>
            <w:r>
              <w:rPr>
                <w:rFonts w:hint="eastAsia"/>
              </w:rPr>
              <w:t>○</w:t>
            </w:r>
            <w:r w:rsidR="00214E09">
              <w:rPr>
                <w:rFonts w:hint="eastAsia"/>
              </w:rPr>
              <w:t>ネットワークインタフェース層のセキュリティ</w:t>
            </w:r>
          </w:p>
          <w:p w14:paraId="4A8CF762" w14:textId="68E88368" w:rsidR="00525CFD" w:rsidRDefault="00214E09" w:rsidP="00956DFE">
            <w:pPr>
              <w:pStyle w:val="ae"/>
              <w:widowControl w:val="0"/>
              <w:numPr>
                <w:ilvl w:val="0"/>
                <w:numId w:val="1"/>
              </w:numPr>
              <w:pBdr>
                <w:top w:val="nil"/>
                <w:left w:val="nil"/>
                <w:bottom w:val="nil"/>
                <w:right w:val="nil"/>
                <w:between w:val="nil"/>
              </w:pBdr>
              <w:spacing w:line="240" w:lineRule="auto"/>
              <w:ind w:leftChars="0"/>
            </w:pPr>
            <w:r>
              <w:rPr>
                <w:rFonts w:hint="eastAsia"/>
              </w:rPr>
              <w:t>有線LANと無線LANを題材に、ネットワーク構築には装置や経路の安全を確保する必要があることを理解させる。</w:t>
            </w:r>
          </w:p>
          <w:p w14:paraId="6BDBC35A" w14:textId="160827D4" w:rsidR="00476D21" w:rsidRDefault="00A5734B" w:rsidP="00956DFE">
            <w:pPr>
              <w:widowControl w:val="0"/>
              <w:pBdr>
                <w:top w:val="nil"/>
                <w:left w:val="nil"/>
                <w:bottom w:val="nil"/>
                <w:right w:val="nil"/>
                <w:between w:val="nil"/>
              </w:pBdr>
              <w:spacing w:line="240" w:lineRule="auto"/>
            </w:pPr>
            <w:r>
              <w:rPr>
                <w:rFonts w:hint="eastAsia"/>
              </w:rPr>
              <w:t>○</w:t>
            </w:r>
            <w:r w:rsidR="00214E09">
              <w:rPr>
                <w:rFonts w:hint="eastAsia"/>
              </w:rPr>
              <w:t>無線LANの暗号化方式</w:t>
            </w:r>
          </w:p>
          <w:p w14:paraId="5AFC2EFC" w14:textId="21D2D52D" w:rsidR="00796D81" w:rsidRDefault="00214E09" w:rsidP="00214E09">
            <w:pPr>
              <w:pStyle w:val="ae"/>
              <w:widowControl w:val="0"/>
              <w:numPr>
                <w:ilvl w:val="0"/>
                <w:numId w:val="1"/>
              </w:numPr>
              <w:pBdr>
                <w:top w:val="nil"/>
                <w:left w:val="nil"/>
                <w:bottom w:val="nil"/>
                <w:right w:val="nil"/>
                <w:between w:val="nil"/>
              </w:pBdr>
              <w:spacing w:line="240" w:lineRule="auto"/>
              <w:ind w:leftChars="0"/>
            </w:pPr>
            <w:r>
              <w:rPr>
                <w:rFonts w:hint="eastAsia"/>
              </w:rPr>
              <w:t>また、無線のような電波は傍受が容易なため暗号化を行うが暗号化方式によっては効果がほとんどないことを伝える。</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1EA4F773" w:rsidR="006D3F01" w:rsidRDefault="004330C3">
            <w:pPr>
              <w:widowControl w:val="0"/>
              <w:pBdr>
                <w:top w:val="nil"/>
                <w:left w:val="nil"/>
                <w:bottom w:val="nil"/>
                <w:right w:val="nil"/>
                <w:between w:val="nil"/>
              </w:pBdr>
              <w:spacing w:line="240" w:lineRule="auto"/>
            </w:pPr>
            <w:r>
              <w:rPr>
                <w:rFonts w:hint="eastAsia"/>
              </w:rPr>
              <w:t>知</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5322DA3F" w14:textId="068E224D" w:rsidR="006D3F01" w:rsidRDefault="00CD459D">
            <w:pPr>
              <w:widowControl w:val="0"/>
              <w:pBdr>
                <w:top w:val="nil"/>
                <w:left w:val="nil"/>
                <w:bottom w:val="nil"/>
                <w:right w:val="nil"/>
                <w:between w:val="nil"/>
              </w:pBdr>
              <w:spacing w:line="240" w:lineRule="auto"/>
              <w:rPr>
                <w:lang w:val="en-US"/>
              </w:rPr>
            </w:pPr>
            <w:r>
              <w:rPr>
                <w:rFonts w:hint="eastAsia"/>
              </w:rPr>
              <w:t>知</w:t>
            </w:r>
            <w:r w:rsidR="00476D21">
              <w:rPr>
                <w:rFonts w:hint="eastAsia"/>
              </w:rPr>
              <w:t>①</w:t>
            </w:r>
            <w:r w:rsidR="00525708">
              <w:rPr>
                <w:lang w:val="en-US"/>
              </w:rPr>
              <w:t>:</w:t>
            </w:r>
            <w:r w:rsidR="00525708">
              <w:rPr>
                <w:rFonts w:hint="eastAsia"/>
                <w:lang w:val="en-US"/>
              </w:rPr>
              <w:t xml:space="preserve"> ワークシート</w:t>
            </w:r>
          </w:p>
          <w:p w14:paraId="1F9D39B7" w14:textId="4CE033F0" w:rsidR="00476D21" w:rsidRPr="00525708" w:rsidRDefault="00476D21">
            <w:pPr>
              <w:widowControl w:val="0"/>
              <w:pBdr>
                <w:top w:val="nil"/>
                <w:left w:val="nil"/>
                <w:bottom w:val="nil"/>
                <w:right w:val="nil"/>
                <w:between w:val="nil"/>
              </w:pBdr>
              <w:spacing w:line="240" w:lineRule="auto"/>
              <w:rPr>
                <w:lang w:val="en-US"/>
              </w:rPr>
            </w:pPr>
            <w:r>
              <w:rPr>
                <w:rFonts w:hint="eastAsia"/>
                <w:lang w:val="en-US"/>
              </w:rPr>
              <w:t>思</w:t>
            </w:r>
            <w:r w:rsidR="00541352">
              <w:rPr>
                <w:rFonts w:hint="eastAsia"/>
                <w:lang w:val="en-US"/>
              </w:rPr>
              <w:t>①</w:t>
            </w:r>
            <w:r>
              <w:rPr>
                <w:lang w:val="en-US"/>
              </w:rPr>
              <w:t>:</w:t>
            </w:r>
            <w:r>
              <w:rPr>
                <w:rFonts w:hint="eastAsia"/>
                <w:lang w:val="en-US"/>
              </w:rPr>
              <w:t xml:space="preserve"> ワークシート</w:t>
            </w:r>
          </w:p>
        </w:tc>
      </w:tr>
      <w:tr w:rsidR="001C085C" w14:paraId="4DE1637F"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383BE8FB" w14:textId="6CF7AE3B" w:rsidR="001C085C" w:rsidRDefault="001C085C" w:rsidP="001C085C">
            <w:pPr>
              <w:widowControl w:val="0"/>
              <w:pBdr>
                <w:top w:val="nil"/>
                <w:left w:val="nil"/>
                <w:bottom w:val="nil"/>
                <w:right w:val="nil"/>
                <w:between w:val="nil"/>
              </w:pBdr>
              <w:spacing w:line="240" w:lineRule="auto"/>
              <w:rPr>
                <w:lang w:val="en-US"/>
              </w:rPr>
            </w:pPr>
            <w:r>
              <w:rPr>
                <w:rFonts w:hint="eastAsia"/>
                <w:lang w:val="en-US"/>
              </w:rPr>
              <w:t>2</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065E550D" w14:textId="0DF1B924" w:rsidR="001C085C" w:rsidRDefault="001C085C" w:rsidP="001C085C">
            <w:pPr>
              <w:widowControl w:val="0"/>
              <w:pBdr>
                <w:top w:val="nil"/>
                <w:left w:val="nil"/>
                <w:bottom w:val="nil"/>
                <w:right w:val="nil"/>
                <w:between w:val="nil"/>
              </w:pBdr>
              <w:spacing w:line="240" w:lineRule="auto"/>
            </w:pPr>
            <w:r>
              <w:rPr>
                <w:rFonts w:hint="eastAsia"/>
              </w:rPr>
              <w:t>○</w:t>
            </w:r>
            <w:r w:rsidR="00214E09">
              <w:rPr>
                <w:rFonts w:hint="eastAsia"/>
              </w:rPr>
              <w:t>共通鍵暗号方式</w:t>
            </w:r>
          </w:p>
          <w:p w14:paraId="6BF1859F" w14:textId="6E1B43B0" w:rsidR="001C085C" w:rsidRDefault="002B65CF" w:rsidP="001C085C">
            <w:pPr>
              <w:pStyle w:val="ae"/>
              <w:widowControl w:val="0"/>
              <w:numPr>
                <w:ilvl w:val="0"/>
                <w:numId w:val="1"/>
              </w:numPr>
              <w:pBdr>
                <w:top w:val="nil"/>
                <w:left w:val="nil"/>
                <w:bottom w:val="nil"/>
                <w:right w:val="nil"/>
                <w:between w:val="nil"/>
              </w:pBdr>
              <w:spacing w:line="240" w:lineRule="auto"/>
              <w:ind w:leftChars="0"/>
            </w:pPr>
            <w:r>
              <w:rPr>
                <w:rFonts w:hint="eastAsia"/>
              </w:rPr>
              <w:t>分かりやすい鍵の例として、共通鍵暗号方式から導入を行う。また、例としてシーザー暗号も取り扱う。</w:t>
            </w:r>
          </w:p>
          <w:p w14:paraId="2BA023EB" w14:textId="1E98E233" w:rsidR="001C085C" w:rsidRDefault="001C085C" w:rsidP="001C085C">
            <w:pPr>
              <w:widowControl w:val="0"/>
              <w:pBdr>
                <w:top w:val="nil"/>
                <w:left w:val="nil"/>
                <w:bottom w:val="nil"/>
                <w:right w:val="nil"/>
                <w:between w:val="nil"/>
              </w:pBdr>
              <w:spacing w:line="240" w:lineRule="auto"/>
            </w:pPr>
            <w:r>
              <w:rPr>
                <w:rFonts w:hint="eastAsia"/>
              </w:rPr>
              <w:t>○</w:t>
            </w:r>
            <w:r w:rsidR="00214E09">
              <w:rPr>
                <w:rFonts w:hint="eastAsia"/>
              </w:rPr>
              <w:t>公開鍵暗号方式</w:t>
            </w:r>
          </w:p>
          <w:p w14:paraId="398EAB4A" w14:textId="63699F09" w:rsidR="001C085C" w:rsidRDefault="002B65CF" w:rsidP="002B65CF">
            <w:pPr>
              <w:pStyle w:val="ae"/>
              <w:widowControl w:val="0"/>
              <w:numPr>
                <w:ilvl w:val="0"/>
                <w:numId w:val="1"/>
              </w:numPr>
              <w:pBdr>
                <w:top w:val="nil"/>
                <w:left w:val="nil"/>
                <w:bottom w:val="nil"/>
                <w:right w:val="nil"/>
                <w:between w:val="nil"/>
              </w:pBdr>
              <w:spacing w:line="240" w:lineRule="auto"/>
              <w:ind w:leftChars="0"/>
            </w:pPr>
            <w:r>
              <w:rPr>
                <w:rFonts w:hint="eastAsia"/>
              </w:rPr>
              <w:t>鍵を安全に交換することが課題であることを理解させたうえで、それを実現する方法として公開暗号方式があることを説明する。</w:t>
            </w:r>
          </w:p>
          <w:p w14:paraId="314E0336" w14:textId="72C61113" w:rsidR="001C085C" w:rsidRDefault="001C085C" w:rsidP="001C085C">
            <w:pPr>
              <w:widowControl w:val="0"/>
              <w:pBdr>
                <w:top w:val="nil"/>
                <w:left w:val="nil"/>
                <w:bottom w:val="nil"/>
                <w:right w:val="nil"/>
                <w:between w:val="nil"/>
              </w:pBdr>
              <w:spacing w:line="240" w:lineRule="auto"/>
            </w:pPr>
            <w:r>
              <w:rPr>
                <w:rFonts w:hint="eastAsia"/>
              </w:rPr>
              <w:t>○</w:t>
            </w:r>
            <w:r w:rsidR="00214E09">
              <w:rPr>
                <w:rFonts w:hint="eastAsia"/>
              </w:rPr>
              <w:t>安全なインターネットサービスの利用</w:t>
            </w:r>
          </w:p>
          <w:p w14:paraId="6D65AF6F" w14:textId="395F7153" w:rsidR="001C085C" w:rsidRDefault="002B65CF" w:rsidP="002B65CF">
            <w:pPr>
              <w:pStyle w:val="ae"/>
              <w:widowControl w:val="0"/>
              <w:numPr>
                <w:ilvl w:val="0"/>
                <w:numId w:val="1"/>
              </w:numPr>
              <w:pBdr>
                <w:top w:val="nil"/>
                <w:left w:val="nil"/>
                <w:bottom w:val="nil"/>
                <w:right w:val="nil"/>
                <w:between w:val="nil"/>
              </w:pBdr>
              <w:spacing w:line="240" w:lineRule="auto"/>
              <w:ind w:leftChars="0"/>
            </w:pPr>
            <w:r>
              <w:rPr>
                <w:rFonts w:hint="eastAsia"/>
              </w:rPr>
              <w:t>HTTPS通信のような方法によりインターネットサービスの安全が一定のレベルで担保されていることを伝える。</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15D26664" w14:textId="77777777" w:rsidR="001C085C" w:rsidRDefault="001C085C" w:rsidP="001C085C">
            <w:pPr>
              <w:widowControl w:val="0"/>
              <w:pBdr>
                <w:top w:val="nil"/>
                <w:left w:val="nil"/>
                <w:bottom w:val="nil"/>
                <w:right w:val="nil"/>
                <w:between w:val="nil"/>
              </w:pBdr>
              <w:spacing w:line="240" w:lineRule="auto"/>
            </w:pPr>
          </w:p>
          <w:p w14:paraId="43AEC05A" w14:textId="77777777" w:rsidR="001C085C" w:rsidRDefault="001C085C" w:rsidP="001C085C">
            <w:pPr>
              <w:widowControl w:val="0"/>
              <w:pBdr>
                <w:top w:val="nil"/>
                <w:left w:val="nil"/>
                <w:bottom w:val="nil"/>
                <w:right w:val="nil"/>
                <w:between w:val="nil"/>
              </w:pBdr>
              <w:spacing w:line="240" w:lineRule="auto"/>
            </w:pPr>
            <w:r>
              <w:rPr>
                <w:rFonts w:hint="eastAsia"/>
              </w:rPr>
              <w:t>知</w:t>
            </w:r>
          </w:p>
          <w:p w14:paraId="710835C0" w14:textId="77777777" w:rsidR="001C085C" w:rsidRDefault="001C085C" w:rsidP="001C085C">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2216151D" w14:textId="77777777" w:rsidR="001C085C" w:rsidRDefault="001C085C" w:rsidP="001C085C">
            <w:pPr>
              <w:widowControl w:val="0"/>
              <w:pBdr>
                <w:top w:val="nil"/>
                <w:left w:val="nil"/>
                <w:bottom w:val="nil"/>
                <w:right w:val="nil"/>
                <w:between w:val="nil"/>
              </w:pBdr>
              <w:spacing w:line="240" w:lineRule="auto"/>
            </w:pPr>
          </w:p>
          <w:p w14:paraId="6302ED7A" w14:textId="4434B9E6" w:rsidR="001C085C" w:rsidRDefault="001C085C" w:rsidP="001C085C">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35CC8785" w14:textId="77777777" w:rsidR="001C085C" w:rsidRDefault="001C085C" w:rsidP="001C085C">
            <w:pPr>
              <w:widowControl w:val="0"/>
              <w:pBdr>
                <w:top w:val="nil"/>
                <w:left w:val="nil"/>
                <w:bottom w:val="nil"/>
                <w:right w:val="nil"/>
                <w:between w:val="nil"/>
              </w:pBdr>
              <w:spacing w:line="240" w:lineRule="auto"/>
              <w:rPr>
                <w:lang w:val="en-US"/>
              </w:rPr>
            </w:pPr>
            <w:r>
              <w:rPr>
                <w:rFonts w:hint="eastAsia"/>
              </w:rPr>
              <w:t>知①</w:t>
            </w:r>
            <w:r>
              <w:rPr>
                <w:lang w:val="en-US"/>
              </w:rPr>
              <w:t>:</w:t>
            </w:r>
            <w:r>
              <w:rPr>
                <w:rFonts w:hint="eastAsia"/>
                <w:lang w:val="en-US"/>
              </w:rPr>
              <w:t xml:space="preserve"> ワークシート</w:t>
            </w:r>
          </w:p>
          <w:p w14:paraId="025D3C5D" w14:textId="0277C06D" w:rsidR="001C085C" w:rsidRDefault="001C085C" w:rsidP="001C085C">
            <w:pPr>
              <w:widowControl w:val="0"/>
              <w:pBdr>
                <w:top w:val="nil"/>
                <w:left w:val="nil"/>
                <w:bottom w:val="nil"/>
                <w:right w:val="nil"/>
                <w:between w:val="nil"/>
              </w:pBdr>
              <w:spacing w:line="240" w:lineRule="auto"/>
            </w:pPr>
            <w:r>
              <w:rPr>
                <w:rFonts w:hint="eastAsia"/>
                <w:lang w:val="en-US"/>
              </w:rPr>
              <w:t>思①</w:t>
            </w:r>
            <w:r>
              <w:rPr>
                <w:lang w:val="en-US"/>
              </w:rPr>
              <w:t>:</w:t>
            </w:r>
            <w:r>
              <w:rPr>
                <w:rFonts w:hint="eastAsia"/>
                <w:lang w:val="en-US"/>
              </w:rPr>
              <w:t xml:space="preserve"> ワークシート</w:t>
            </w:r>
          </w:p>
        </w:tc>
      </w:tr>
    </w:tbl>
    <w:p w14:paraId="3EB0A446" w14:textId="66A4EC57" w:rsidR="003B35CB" w:rsidRDefault="003B35CB">
      <w:pPr>
        <w:rPr>
          <w:rFonts w:ascii="Arial Unicode MS" w:eastAsia="Arial Unicode MS" w:hAnsi="Arial Unicode MS" w:cs="Arial Unicode MS"/>
          <w:sz w:val="40"/>
          <w:szCs w:val="40"/>
        </w:rPr>
      </w:pPr>
      <w:bookmarkStart w:id="7" w:name="_y6h0iylpnpnp" w:colFirst="0" w:colLast="0"/>
      <w:bookmarkEnd w:id="7"/>
    </w:p>
    <w:p w14:paraId="600BB0FA" w14:textId="77777777" w:rsidR="003B35CB" w:rsidRDefault="003B35CB">
      <w:pPr>
        <w:rPr>
          <w:rFonts w:ascii="Arial Unicode MS" w:eastAsia="Arial Unicode MS" w:hAnsi="Arial Unicode MS" w:cs="Arial Unicode MS"/>
          <w:sz w:val="40"/>
          <w:szCs w:val="40"/>
        </w:rPr>
      </w:pPr>
      <w:r>
        <w:rPr>
          <w:rFonts w:ascii="Arial Unicode MS" w:eastAsia="Arial Unicode MS" w:hAnsi="Arial Unicode MS" w:cs="Arial Unicode MS"/>
          <w:sz w:val="40"/>
          <w:szCs w:val="40"/>
        </w:rPr>
        <w:br w:type="page"/>
      </w:r>
    </w:p>
    <w:p w14:paraId="28D07AF6" w14:textId="62F54E8D" w:rsidR="006D3F01" w:rsidRDefault="00CD459D" w:rsidP="00CD459D">
      <w:pPr>
        <w:pStyle w:val="3"/>
      </w:pPr>
      <w:r>
        <w:rPr>
          <w:lang w:val="en-US"/>
        </w:rPr>
        <w:lastRenderedPageBreak/>
        <w:t>4</w:t>
      </w:r>
      <w:r>
        <w:rPr>
          <w:rFonts w:hint="eastAsia"/>
          <w:lang w:val="en-US"/>
        </w:rPr>
        <w:t xml:space="preserve">. </w:t>
      </w:r>
      <w:r w:rsidR="00D62636">
        <w:t>観点別学習状況の指導と評価</w:t>
      </w:r>
    </w:p>
    <w:p w14:paraId="24EB70A4" w14:textId="05B3D34D" w:rsidR="005361F9" w:rsidRDefault="005361F9" w:rsidP="005361F9">
      <w:pPr>
        <w:pStyle w:val="4"/>
        <w:rPr>
          <w:lang w:val="en-US"/>
        </w:rPr>
      </w:pPr>
      <w:bookmarkStart w:id="8" w:name="_lj19a8as0hk9" w:colFirst="0" w:colLast="0"/>
      <w:bookmarkEnd w:id="8"/>
      <w:r>
        <w:rPr>
          <w:rFonts w:hint="eastAsia"/>
          <w:lang w:val="en-US"/>
        </w:rPr>
        <w:t>本時における「知識・技能」の指導と評価</w:t>
      </w:r>
    </w:p>
    <w:p w14:paraId="774D0969" w14:textId="30609EAB" w:rsidR="005361F9" w:rsidRDefault="005361F9" w:rsidP="005361F9">
      <w:pPr>
        <w:rPr>
          <w:lang w:val="en-US"/>
        </w:rPr>
      </w:pPr>
      <w:r>
        <w:rPr>
          <w:rFonts w:hint="eastAsia"/>
          <w:lang w:val="en-US"/>
        </w:rPr>
        <w:t>本時においては、「知識・技能」の観点について、全員の記録をとる評価を行う。</w:t>
      </w:r>
    </w:p>
    <w:p w14:paraId="19F32178" w14:textId="77777777" w:rsidR="008D3335" w:rsidRPr="00947CDB" w:rsidRDefault="008D3335" w:rsidP="005361F9">
      <w:pPr>
        <w:rPr>
          <w:lang w:val="en-US"/>
        </w:rPr>
      </w:pPr>
    </w:p>
    <w:p w14:paraId="384508B9" w14:textId="304A247D" w:rsidR="008D3335" w:rsidRDefault="005361F9" w:rsidP="008D3335">
      <w:pPr>
        <w:pStyle w:val="ae"/>
        <w:numPr>
          <w:ilvl w:val="0"/>
          <w:numId w:val="9"/>
        </w:numPr>
        <w:ind w:leftChars="0"/>
      </w:pPr>
      <w:r>
        <w:rPr>
          <w:rFonts w:hint="eastAsia"/>
        </w:rPr>
        <w:t>知識・技能</w:t>
      </w:r>
      <w:r w:rsidRPr="003B35CB">
        <w:rPr>
          <w:lang w:val="en-US"/>
        </w:rPr>
        <w:t>:</w:t>
      </w:r>
      <w:r w:rsidR="00D502BA">
        <w:rPr>
          <w:rFonts w:hint="eastAsia"/>
          <w:lang w:val="en-US"/>
        </w:rPr>
        <w:t>情報セキュリティと鍵</w:t>
      </w:r>
      <w:r w:rsidR="00BB0803">
        <w:rPr>
          <w:rFonts w:hint="eastAsia"/>
          <w:lang w:val="en-US"/>
        </w:rPr>
        <w:t>の仕組みについて</w:t>
      </w:r>
      <w:r w:rsidR="003E10AF">
        <w:rPr>
          <w:rFonts w:hint="eastAsia"/>
        </w:rPr>
        <w:t>理解</w:t>
      </w:r>
      <w:r w:rsidR="003B35CB">
        <w:rPr>
          <w:rFonts w:hint="eastAsia"/>
        </w:rPr>
        <w:t>させる。</w:t>
      </w:r>
    </w:p>
    <w:p w14:paraId="10A02D94" w14:textId="2E27F6AE" w:rsidR="00BB0803" w:rsidRPr="00BB0803" w:rsidRDefault="00D502BA" w:rsidP="00EE628A">
      <w:pPr>
        <w:pStyle w:val="ae"/>
        <w:numPr>
          <w:ilvl w:val="0"/>
          <w:numId w:val="1"/>
        </w:numPr>
        <w:ind w:leftChars="0"/>
      </w:pPr>
      <w:r>
        <w:rPr>
          <w:rFonts w:hint="eastAsia"/>
          <w:lang w:val="en-US"/>
        </w:rPr>
        <w:t>無線LANを題材に、通信経路を暗号化する必要性を理解させる。</w:t>
      </w:r>
    </w:p>
    <w:p w14:paraId="01ED9813" w14:textId="4B5B7E32" w:rsidR="00BB0803" w:rsidRPr="003B35CB" w:rsidRDefault="00D502BA" w:rsidP="00BB0803">
      <w:pPr>
        <w:pStyle w:val="ae"/>
        <w:numPr>
          <w:ilvl w:val="0"/>
          <w:numId w:val="1"/>
        </w:numPr>
        <w:ind w:leftChars="0"/>
      </w:pPr>
      <w:r>
        <w:rPr>
          <w:rFonts w:hint="eastAsia"/>
          <w:lang w:val="en-US"/>
        </w:rPr>
        <w:t>共通鍵暗号を題材に、鍵の交換が課題になることを理解させる。</w:t>
      </w:r>
    </w:p>
    <w:p w14:paraId="1A75DF0F" w14:textId="59212866" w:rsidR="005361F9" w:rsidRPr="003B35CB" w:rsidRDefault="00D502BA" w:rsidP="003B35CB">
      <w:pPr>
        <w:pStyle w:val="ae"/>
        <w:numPr>
          <w:ilvl w:val="0"/>
          <w:numId w:val="1"/>
        </w:numPr>
        <w:ind w:leftChars="0"/>
      </w:pPr>
      <w:r>
        <w:rPr>
          <w:rFonts w:hint="eastAsia"/>
        </w:rPr>
        <w:t>安全に鍵を交換する方法として公開鍵暗号方式が利用できることを理解させる。</w:t>
      </w:r>
    </w:p>
    <w:p w14:paraId="2292A7B7" w14:textId="77777777" w:rsidR="003B35CB" w:rsidRDefault="003B35CB" w:rsidP="003B35CB">
      <w:pPr>
        <w:pStyle w:val="ae"/>
        <w:ind w:leftChars="0" w:left="420"/>
      </w:pPr>
    </w:p>
    <w:p w14:paraId="6009603A" w14:textId="77777777" w:rsidR="005361F9" w:rsidRDefault="005361F9" w:rsidP="00EE628A">
      <w:pPr>
        <w:pStyle w:val="ae"/>
        <w:numPr>
          <w:ilvl w:val="0"/>
          <w:numId w:val="9"/>
        </w:numPr>
        <w:ind w:leftChars="0"/>
      </w:pPr>
      <w:r>
        <w:t>評価基準:</w:t>
      </w:r>
    </w:p>
    <w:p w14:paraId="289CAA00" w14:textId="241BB4AC" w:rsidR="00724329" w:rsidRDefault="003B35CB" w:rsidP="003B35CB">
      <w:pPr>
        <w:pStyle w:val="ae"/>
        <w:numPr>
          <w:ilvl w:val="0"/>
          <w:numId w:val="12"/>
        </w:numPr>
        <w:ind w:leftChars="0"/>
        <w:rPr>
          <w:lang w:val="en-US"/>
        </w:rPr>
      </w:pPr>
      <w:r>
        <w:rPr>
          <w:rFonts w:hint="eastAsia"/>
          <w:lang w:val="en-US"/>
        </w:rPr>
        <w:t>ワークシートの記載などを通じて、生徒の理解を評価する。</w:t>
      </w:r>
    </w:p>
    <w:p w14:paraId="55EEF257" w14:textId="6817C3EB" w:rsidR="003B35CB" w:rsidRDefault="003B35CB" w:rsidP="00D502BA">
      <w:pPr>
        <w:pStyle w:val="ae"/>
        <w:ind w:leftChars="0" w:left="420"/>
        <w:rPr>
          <w:rFonts w:hint="eastAsia"/>
          <w:lang w:val="en-US"/>
        </w:rPr>
      </w:pPr>
    </w:p>
    <w:p w14:paraId="31273B7B" w14:textId="4921BBB8" w:rsidR="00724329" w:rsidRDefault="00724329"/>
    <w:p w14:paraId="610F6FDF" w14:textId="77777777" w:rsidR="005361F9" w:rsidRDefault="005361F9" w:rsidP="00EE628A">
      <w:pPr>
        <w:pStyle w:val="ae"/>
        <w:numPr>
          <w:ilvl w:val="0"/>
          <w:numId w:val="9"/>
        </w:numPr>
        <w:ind w:leftChars="0"/>
      </w:pPr>
      <w:r>
        <w:t>展開:</w:t>
      </w:r>
    </w:p>
    <w:p w14:paraId="423400A4" w14:textId="115DD6DC" w:rsidR="005361F9" w:rsidRDefault="000B62E7">
      <w:r>
        <w:rPr>
          <w:rFonts w:hint="eastAsia"/>
        </w:rPr>
        <w:t>本時では、</w:t>
      </w:r>
      <w:r w:rsidR="003B35CB">
        <w:rPr>
          <w:rFonts w:hint="eastAsia"/>
        </w:rPr>
        <w:t>スライドに従って生徒に</w:t>
      </w:r>
      <w:r w:rsidR="00D502BA">
        <w:rPr>
          <w:rFonts w:hint="eastAsia"/>
        </w:rPr>
        <w:t>情報セキュリティの考え方を理解させる。</w:t>
      </w:r>
    </w:p>
    <w:p w14:paraId="7449CA98" w14:textId="78F846ED" w:rsidR="002B345E" w:rsidRDefault="002B345E">
      <w:r>
        <w:br w:type="page"/>
      </w:r>
    </w:p>
    <w:tbl>
      <w:tblPr>
        <w:tblStyle w:val="af4"/>
        <w:tblW w:w="0" w:type="auto"/>
        <w:tblLayout w:type="fixed"/>
        <w:tblLook w:val="04A0" w:firstRow="1" w:lastRow="0" w:firstColumn="1" w:lastColumn="0" w:noHBand="0" w:noVBand="1"/>
      </w:tblPr>
      <w:tblGrid>
        <w:gridCol w:w="6091"/>
        <w:gridCol w:w="3969"/>
      </w:tblGrid>
      <w:tr w:rsidR="00682E60" w14:paraId="0ED43221" w14:textId="77777777" w:rsidTr="001145B2">
        <w:tc>
          <w:tcPr>
            <w:tcW w:w="6091" w:type="dxa"/>
          </w:tcPr>
          <w:p w14:paraId="691DBC57" w14:textId="77777777" w:rsidR="00682E60" w:rsidRDefault="00682E60" w:rsidP="00A446F5">
            <w:r>
              <w:rPr>
                <w:rFonts w:hint="eastAsia"/>
              </w:rPr>
              <w:lastRenderedPageBreak/>
              <w:t>学習活動</w:t>
            </w:r>
          </w:p>
        </w:tc>
        <w:tc>
          <w:tcPr>
            <w:tcW w:w="3969" w:type="dxa"/>
          </w:tcPr>
          <w:p w14:paraId="34CF4699" w14:textId="77777777" w:rsidR="00682E60" w:rsidRDefault="00682E60" w:rsidP="00A446F5">
            <w:r>
              <w:rPr>
                <w:rFonts w:hint="eastAsia"/>
              </w:rPr>
              <w:t>評価と配慮事項</w:t>
            </w:r>
          </w:p>
        </w:tc>
      </w:tr>
      <w:tr w:rsidR="00682E60" w14:paraId="3539799F" w14:textId="77777777" w:rsidTr="001145B2">
        <w:trPr>
          <w:trHeight w:val="5225"/>
        </w:trPr>
        <w:tc>
          <w:tcPr>
            <w:tcW w:w="6091" w:type="dxa"/>
          </w:tcPr>
          <w:p w14:paraId="5F0E4F87" w14:textId="47FFE83C" w:rsidR="00FE216A" w:rsidRDefault="001675BD" w:rsidP="00FE216A">
            <w:pPr>
              <w:pStyle w:val="ae"/>
              <w:numPr>
                <w:ilvl w:val="0"/>
                <w:numId w:val="11"/>
              </w:numPr>
              <w:ind w:leftChars="0"/>
              <w:rPr>
                <w:lang w:val="en-US"/>
              </w:rPr>
            </w:pPr>
            <w:r w:rsidRPr="001675BD">
              <w:rPr>
                <w:rFonts w:hint="eastAsia"/>
                <w:lang w:val="en-US"/>
              </w:rPr>
              <w:t>ネットワークインタフェース層のセキュリティ</w:t>
            </w:r>
            <w:r w:rsidR="00FE216A" w:rsidRPr="001675BD">
              <w:rPr>
                <w:lang w:val="en-US"/>
              </w:rPr>
              <w:br/>
            </w:r>
            <w:r w:rsidR="00FE216A" w:rsidRPr="001675BD">
              <w:rPr>
                <w:rFonts w:hint="eastAsia"/>
                <w:lang w:val="en-US"/>
              </w:rPr>
              <w:t>導入として</w:t>
            </w:r>
            <w:r w:rsidRPr="001675BD">
              <w:rPr>
                <w:rFonts w:hint="eastAsia"/>
                <w:lang w:val="en-US"/>
              </w:rPr>
              <w:t>無線LANでは電波が傍受可能な点に触れ、経路を暗号化する必要があることを示す。次に、暗号化の話に触れ、鍵の重要性を示す。</w:t>
            </w:r>
          </w:p>
          <w:p w14:paraId="3F7D1466" w14:textId="77777777" w:rsidR="001675BD" w:rsidRPr="001675BD" w:rsidRDefault="001675BD" w:rsidP="001675BD">
            <w:pPr>
              <w:pStyle w:val="ae"/>
              <w:ind w:leftChars="0" w:left="420"/>
              <w:rPr>
                <w:rFonts w:hint="eastAsia"/>
                <w:lang w:val="en-US"/>
              </w:rPr>
            </w:pPr>
          </w:p>
          <w:p w14:paraId="30621D92" w14:textId="77777777" w:rsidR="00FE216A" w:rsidRPr="0090250F" w:rsidRDefault="00FE216A" w:rsidP="0090250F">
            <w:pPr>
              <w:ind w:leftChars="200" w:left="440"/>
              <w:rPr>
                <w:lang w:val="en-US"/>
              </w:rPr>
            </w:pPr>
          </w:p>
          <w:p w14:paraId="7E6667A6" w14:textId="7215B399" w:rsidR="003E10AF" w:rsidRDefault="001675BD" w:rsidP="00EE628A">
            <w:pPr>
              <w:pStyle w:val="ae"/>
              <w:numPr>
                <w:ilvl w:val="0"/>
                <w:numId w:val="11"/>
              </w:numPr>
              <w:ind w:leftChars="0"/>
              <w:rPr>
                <w:lang w:val="en-US"/>
              </w:rPr>
            </w:pPr>
            <w:r>
              <w:rPr>
                <w:rFonts w:hint="eastAsia"/>
                <w:lang w:val="en-US"/>
              </w:rPr>
              <w:t>暗号化と鍵</w:t>
            </w:r>
          </w:p>
          <w:p w14:paraId="44BD9C05" w14:textId="77434F18" w:rsidR="00500909" w:rsidRDefault="001675BD" w:rsidP="00500909">
            <w:pPr>
              <w:ind w:leftChars="200" w:left="440"/>
              <w:rPr>
                <w:lang w:val="en-US"/>
              </w:rPr>
            </w:pPr>
            <w:r>
              <w:rPr>
                <w:rFonts w:hint="eastAsia"/>
                <w:lang w:val="en-US"/>
              </w:rPr>
              <w:t>シーザー暗号を題材に共通鍵暗号方式の特徴と課題を解説する。その後、公開鍵暗号方式について解説する。</w:t>
            </w:r>
          </w:p>
          <w:p w14:paraId="726B4B32" w14:textId="0DE6D54C" w:rsidR="001675BD" w:rsidRDefault="001675BD" w:rsidP="00500909">
            <w:pPr>
              <w:ind w:leftChars="200" w:left="440"/>
              <w:rPr>
                <w:lang w:val="en-US"/>
              </w:rPr>
            </w:pPr>
          </w:p>
          <w:p w14:paraId="6B917B28" w14:textId="4BCB7EA7" w:rsidR="001675BD" w:rsidRDefault="001675BD" w:rsidP="00500909">
            <w:pPr>
              <w:ind w:leftChars="200" w:left="440"/>
              <w:rPr>
                <w:lang w:val="en-US"/>
              </w:rPr>
            </w:pPr>
          </w:p>
          <w:p w14:paraId="58C6AE99" w14:textId="59250CEE" w:rsidR="001675BD" w:rsidRDefault="001675BD" w:rsidP="00500909">
            <w:pPr>
              <w:ind w:leftChars="200" w:left="440"/>
              <w:rPr>
                <w:lang w:val="en-US"/>
              </w:rPr>
            </w:pPr>
          </w:p>
          <w:p w14:paraId="7D6DEF22" w14:textId="77777777" w:rsidR="001675BD" w:rsidRDefault="001675BD" w:rsidP="00500909">
            <w:pPr>
              <w:ind w:leftChars="200" w:left="440"/>
              <w:rPr>
                <w:rFonts w:hint="eastAsia"/>
                <w:lang w:val="en-US"/>
              </w:rPr>
            </w:pPr>
          </w:p>
          <w:p w14:paraId="606509BD" w14:textId="1F337C37" w:rsidR="001675BD" w:rsidRDefault="001675BD" w:rsidP="00500909">
            <w:pPr>
              <w:ind w:leftChars="200" w:left="440"/>
              <w:rPr>
                <w:lang w:val="en-US"/>
              </w:rPr>
            </w:pPr>
          </w:p>
          <w:p w14:paraId="15311AAE" w14:textId="77777777" w:rsidR="001675BD" w:rsidRDefault="001675BD" w:rsidP="00500909">
            <w:pPr>
              <w:ind w:leftChars="200" w:left="440"/>
              <w:rPr>
                <w:rFonts w:hint="eastAsia"/>
                <w:lang w:val="en-US"/>
              </w:rPr>
            </w:pPr>
          </w:p>
          <w:p w14:paraId="5B746538" w14:textId="448EA251" w:rsidR="001675BD" w:rsidRDefault="001675BD" w:rsidP="001675BD">
            <w:pPr>
              <w:pStyle w:val="ae"/>
              <w:numPr>
                <w:ilvl w:val="0"/>
                <w:numId w:val="11"/>
              </w:numPr>
              <w:spacing w:line="276" w:lineRule="auto"/>
              <w:ind w:leftChars="0"/>
              <w:rPr>
                <w:lang w:val="en-US"/>
              </w:rPr>
            </w:pPr>
            <w:r>
              <w:rPr>
                <w:rFonts w:hint="eastAsia"/>
                <w:lang w:val="en-US"/>
              </w:rPr>
              <w:t>安全なインターネットサービスの利用</w:t>
            </w:r>
          </w:p>
          <w:p w14:paraId="2F06AB0E" w14:textId="131CE53A" w:rsidR="00500909" w:rsidRDefault="001675BD" w:rsidP="00500909">
            <w:pPr>
              <w:ind w:leftChars="200" w:left="440"/>
              <w:rPr>
                <w:lang w:val="en-US"/>
              </w:rPr>
            </w:pPr>
            <w:r>
              <w:rPr>
                <w:rFonts w:hint="eastAsia"/>
                <w:lang w:val="en-US"/>
              </w:rPr>
              <w:t>インターネットサービスを利用する際に、情報がどのように守られているかを、</w:t>
            </w:r>
            <w:r>
              <w:rPr>
                <w:rFonts w:hint="eastAsia"/>
                <w:lang w:val="en-US"/>
              </w:rPr>
              <w:t>TCP/IPレイヤーモデル</w:t>
            </w:r>
            <w:r>
              <w:rPr>
                <w:rFonts w:hint="eastAsia"/>
                <w:lang w:val="en-US"/>
              </w:rPr>
              <w:t>の考え方も参考にしながら、解説する。</w:t>
            </w:r>
          </w:p>
          <w:p w14:paraId="1586DCF4" w14:textId="71D73608" w:rsidR="00500909" w:rsidRDefault="00500909" w:rsidP="00500909">
            <w:pPr>
              <w:ind w:leftChars="200" w:left="440"/>
              <w:rPr>
                <w:lang w:val="en-US"/>
              </w:rPr>
            </w:pPr>
          </w:p>
          <w:p w14:paraId="6423E691" w14:textId="48EF261B" w:rsidR="00682E60" w:rsidRPr="000B62E7" w:rsidRDefault="00682E60" w:rsidP="001145B2">
            <w:pPr>
              <w:rPr>
                <w:lang w:val="en-US"/>
              </w:rPr>
            </w:pPr>
          </w:p>
        </w:tc>
        <w:tc>
          <w:tcPr>
            <w:tcW w:w="3969" w:type="dxa"/>
          </w:tcPr>
          <w:p w14:paraId="667CAC7D" w14:textId="64AC6C21" w:rsidR="001145B2" w:rsidRDefault="001675BD" w:rsidP="0049359B">
            <w:pPr>
              <w:pStyle w:val="ae"/>
              <w:numPr>
                <w:ilvl w:val="0"/>
                <w:numId w:val="10"/>
              </w:numPr>
              <w:ind w:leftChars="0"/>
            </w:pPr>
            <w:r>
              <w:rPr>
                <w:rFonts w:hint="eastAsia"/>
              </w:rPr>
              <w:t>試験ではWEP暗号方式の脆弱性に触れることになると考えられるが、まずは、無線LANの傍受の行いやすさや経路を暗号化する必要があることを伝える。</w:t>
            </w:r>
          </w:p>
          <w:p w14:paraId="5A8DE039" w14:textId="77777777" w:rsidR="001145B2" w:rsidRDefault="001145B2" w:rsidP="0049359B"/>
          <w:p w14:paraId="7D259BA3" w14:textId="541885A2" w:rsidR="001675BD" w:rsidRDefault="001675BD" w:rsidP="00EE628A">
            <w:pPr>
              <w:pStyle w:val="ae"/>
              <w:numPr>
                <w:ilvl w:val="0"/>
                <w:numId w:val="10"/>
              </w:numPr>
              <w:ind w:leftChars="0"/>
            </w:pPr>
            <w:r>
              <w:rPr>
                <w:rFonts w:hint="eastAsia"/>
              </w:rPr>
              <w:t>暗号化にはアルゴリズムと鍵の両方が必要なこと、また、共通鍵暗号方式では通常、鍵を秘匿すればよく、アルゴリズムは公開されていても構わないことを理解させる。公開鍵暗号方式の理解は時間がかかるため、1コマで完璧に覚えさせるのではなく、複数回説明したほうが良いかもしれない。</w:t>
            </w:r>
          </w:p>
          <w:p w14:paraId="6B513633" w14:textId="77777777" w:rsidR="001675BD" w:rsidRDefault="001675BD" w:rsidP="001675BD">
            <w:pPr>
              <w:pStyle w:val="ae"/>
              <w:ind w:left="880"/>
              <w:rPr>
                <w:rFonts w:hint="eastAsia"/>
              </w:rPr>
            </w:pPr>
          </w:p>
          <w:p w14:paraId="0D96B243" w14:textId="3F07EDF2" w:rsidR="001F0EBB" w:rsidRDefault="001675BD" w:rsidP="001F0EBB">
            <w:pPr>
              <w:pStyle w:val="ae"/>
              <w:numPr>
                <w:ilvl w:val="0"/>
                <w:numId w:val="10"/>
              </w:numPr>
              <w:ind w:leftChars="0" w:left="880"/>
            </w:pPr>
            <w:r>
              <w:rPr>
                <w:rFonts w:hint="eastAsia"/>
              </w:rPr>
              <w:t>下の層である経路だけが暗号化されていても上位層で生のデータが流れていた場合にはプロバイダーや機器の管理者には情報が閲覧される可能性がある。また、それらのスタッフが悪意を持っている場合や、そもそも攻撃者に設備を乗っ取られている可能性があるため、注意が必要となる。</w:t>
            </w:r>
          </w:p>
          <w:p w14:paraId="335DEC28" w14:textId="2EE100DE" w:rsidR="0049359B" w:rsidRDefault="0049359B" w:rsidP="001145B2"/>
        </w:tc>
      </w:tr>
    </w:tbl>
    <w:p w14:paraId="5362FA40" w14:textId="7483E545" w:rsidR="002B345E" w:rsidRDefault="002B345E"/>
    <w:p w14:paraId="02FF6D86" w14:textId="77777777" w:rsidR="002B345E" w:rsidRDefault="002B345E">
      <w:r>
        <w:br w:type="page"/>
      </w:r>
    </w:p>
    <w:p w14:paraId="0A60BACE" w14:textId="5C696C0C" w:rsidR="00D3027F" w:rsidRPr="00A86FA2" w:rsidRDefault="00A86FA2" w:rsidP="00EE628A">
      <w:pPr>
        <w:pStyle w:val="ae"/>
        <w:numPr>
          <w:ilvl w:val="0"/>
          <w:numId w:val="15"/>
        </w:numPr>
        <w:ind w:leftChars="0"/>
        <w:rPr>
          <w:lang w:val="en-US"/>
        </w:rPr>
      </w:pPr>
      <w:r>
        <w:rPr>
          <w:rFonts w:hint="eastAsia"/>
        </w:rPr>
        <w:lastRenderedPageBreak/>
        <w:t>本時における「知識・技能」の指導と評価の方法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8"/>
        <w:gridCol w:w="5632"/>
      </w:tblGrid>
      <w:tr w:rsidR="00D3027F" w14:paraId="1863E7EE" w14:textId="77777777" w:rsidTr="001145B2">
        <w:tc>
          <w:tcPr>
            <w:tcW w:w="3818"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5632" w:type="dxa"/>
            <w:shd w:val="clear" w:color="auto" w:fill="auto"/>
          </w:tcPr>
          <w:p w14:paraId="4040FE2D" w14:textId="77777777" w:rsidR="00D3027F" w:rsidRDefault="00D3027F" w:rsidP="00A446F5">
            <w:r>
              <w:rPr>
                <w:rFonts w:hint="eastAsia"/>
              </w:rPr>
              <w:t>評価の視点</w:t>
            </w:r>
          </w:p>
        </w:tc>
      </w:tr>
      <w:tr w:rsidR="00D3027F" w14:paraId="1846677F" w14:textId="77777777" w:rsidTr="001145B2">
        <w:tc>
          <w:tcPr>
            <w:tcW w:w="3818"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5632" w:type="dxa"/>
            <w:shd w:val="clear" w:color="auto" w:fill="auto"/>
          </w:tcPr>
          <w:p w14:paraId="3E2122F2" w14:textId="53F0E7FE" w:rsidR="00D3027F" w:rsidRDefault="001675BD" w:rsidP="00EE628A">
            <w:pPr>
              <w:pStyle w:val="ae"/>
              <w:numPr>
                <w:ilvl w:val="0"/>
                <w:numId w:val="2"/>
              </w:numPr>
              <w:ind w:leftChars="0"/>
            </w:pPr>
            <w:r>
              <w:rPr>
                <w:rFonts w:hint="eastAsia"/>
              </w:rPr>
              <w:t>暗号化を行うためには鍵と暗号化のためのアルゴリズムが必要である。また、簡単な暗号化アルゴリズムは脆弱なのでセキュリティのために用いてはならない。</w:t>
            </w:r>
          </w:p>
        </w:tc>
      </w:tr>
      <w:tr w:rsidR="00D3027F" w14:paraId="517F5E5E" w14:textId="77777777" w:rsidTr="001145B2">
        <w:tc>
          <w:tcPr>
            <w:tcW w:w="3818" w:type="dxa"/>
            <w:shd w:val="clear" w:color="auto" w:fill="auto"/>
            <w:tcMar>
              <w:top w:w="100" w:type="dxa"/>
              <w:left w:w="100" w:type="dxa"/>
              <w:bottom w:w="100" w:type="dxa"/>
              <w:right w:w="100" w:type="dxa"/>
            </w:tcMar>
          </w:tcPr>
          <w:p w14:paraId="5FFD34D9" w14:textId="77777777" w:rsidR="00D3027F" w:rsidRDefault="00D3027F" w:rsidP="00A446F5">
            <w:r>
              <w:rPr>
                <w:rFonts w:hint="eastAsia"/>
              </w:rPr>
              <w:t>「十分満足できる」状況（A)</w:t>
            </w:r>
          </w:p>
        </w:tc>
        <w:tc>
          <w:tcPr>
            <w:tcW w:w="5632" w:type="dxa"/>
            <w:shd w:val="clear" w:color="auto" w:fill="auto"/>
          </w:tcPr>
          <w:p w14:paraId="0FE14E23" w14:textId="7BE78F80" w:rsidR="00D3027F" w:rsidRDefault="001675BD" w:rsidP="00EE628A">
            <w:pPr>
              <w:pStyle w:val="ae"/>
              <w:numPr>
                <w:ilvl w:val="0"/>
                <w:numId w:val="2"/>
              </w:numPr>
              <w:ind w:leftChars="0"/>
            </w:pPr>
            <w:r>
              <w:rPr>
                <w:rFonts w:hint="eastAsia"/>
              </w:rPr>
              <w:t>公開鍵暗号方式は公開鍵と秘密鍵のペアを用いた暗号化方式で、この方式を採用することで情報を安全に受け渡すことができる。また、この仕組みを応用することで電子署名も実現することもできる。</w:t>
            </w:r>
          </w:p>
        </w:tc>
      </w:tr>
    </w:tbl>
    <w:p w14:paraId="06A556E3" w14:textId="77777777" w:rsidR="00A86FA2" w:rsidRDefault="00A86FA2"/>
    <w:p w14:paraId="11762420" w14:textId="626E49A9" w:rsidR="00CD459D" w:rsidRDefault="00CD459D"/>
    <w:sectPr w:rsidR="00CD459D">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B1420" w14:textId="77777777" w:rsidR="00AD4829" w:rsidRDefault="00AD4829">
      <w:pPr>
        <w:spacing w:line="240" w:lineRule="auto"/>
      </w:pPr>
      <w:r>
        <w:separator/>
      </w:r>
    </w:p>
  </w:endnote>
  <w:endnote w:type="continuationSeparator" w:id="0">
    <w:p w14:paraId="4F0729A6" w14:textId="77777777" w:rsidR="00AD4829" w:rsidRDefault="00AD48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Unicode MS">
    <w:altName w:val="HGPｺﾞｼｯｸE"/>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EndPr>
      <w:rPr>
        <w:rStyle w:val="af3"/>
      </w:rPr>
    </w:sdtEnd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EndPr>
      <w:rPr>
        <w:rStyle w:val="af3"/>
      </w:rPr>
    </w:sdtEnd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2FA92" w14:textId="77777777" w:rsidR="00AD4829" w:rsidRDefault="00AD4829">
      <w:pPr>
        <w:spacing w:line="240" w:lineRule="auto"/>
      </w:pPr>
      <w:r>
        <w:separator/>
      </w:r>
    </w:p>
  </w:footnote>
  <w:footnote w:type="continuationSeparator" w:id="0">
    <w:p w14:paraId="3D86EE26" w14:textId="77777777" w:rsidR="00AD4829" w:rsidRDefault="00AD482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47653E"/>
    <w:multiLevelType w:val="hybridMultilevel"/>
    <w:tmpl w:val="B8DC4DA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317F00"/>
    <w:multiLevelType w:val="hybridMultilevel"/>
    <w:tmpl w:val="FED61D0E"/>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04B11DD"/>
    <w:multiLevelType w:val="hybridMultilevel"/>
    <w:tmpl w:val="39A272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36F1070"/>
    <w:multiLevelType w:val="hybridMultilevel"/>
    <w:tmpl w:val="433E06BC"/>
    <w:lvl w:ilvl="0" w:tplc="083A0D60">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1"/>
  </w:num>
  <w:num w:numId="2" w16cid:durableId="2091536120">
    <w:abstractNumId w:val="0"/>
  </w:num>
  <w:num w:numId="3" w16cid:durableId="117723502">
    <w:abstractNumId w:val="6"/>
  </w:num>
  <w:num w:numId="4" w16cid:durableId="796526736">
    <w:abstractNumId w:val="7"/>
  </w:num>
  <w:num w:numId="5" w16cid:durableId="828252202">
    <w:abstractNumId w:val="3"/>
  </w:num>
  <w:num w:numId="6" w16cid:durableId="1304119852">
    <w:abstractNumId w:val="11"/>
  </w:num>
  <w:num w:numId="7" w16cid:durableId="1813062008">
    <w:abstractNumId w:val="10"/>
  </w:num>
  <w:num w:numId="8" w16cid:durableId="729352034">
    <w:abstractNumId w:val="14"/>
  </w:num>
  <w:num w:numId="9" w16cid:durableId="811676340">
    <w:abstractNumId w:val="13"/>
  </w:num>
  <w:num w:numId="10" w16cid:durableId="1355422936">
    <w:abstractNumId w:val="5"/>
  </w:num>
  <w:num w:numId="11" w16cid:durableId="997802113">
    <w:abstractNumId w:val="4"/>
  </w:num>
  <w:num w:numId="12" w16cid:durableId="1771120389">
    <w:abstractNumId w:val="2"/>
  </w:num>
  <w:num w:numId="13" w16cid:durableId="606695469">
    <w:abstractNumId w:val="8"/>
  </w:num>
  <w:num w:numId="14" w16cid:durableId="1729720834">
    <w:abstractNumId w:val="9"/>
  </w:num>
  <w:num w:numId="15" w16cid:durableId="30358486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B62E7"/>
    <w:rsid w:val="000F36B0"/>
    <w:rsid w:val="00111066"/>
    <w:rsid w:val="001145B2"/>
    <w:rsid w:val="00127941"/>
    <w:rsid w:val="001675BD"/>
    <w:rsid w:val="001A28DC"/>
    <w:rsid w:val="001C085C"/>
    <w:rsid w:val="001F0EBB"/>
    <w:rsid w:val="00214E09"/>
    <w:rsid w:val="002270AE"/>
    <w:rsid w:val="002B1C98"/>
    <w:rsid w:val="002B345E"/>
    <w:rsid w:val="002B65CF"/>
    <w:rsid w:val="002E4270"/>
    <w:rsid w:val="003055A8"/>
    <w:rsid w:val="0031424C"/>
    <w:rsid w:val="00356F0F"/>
    <w:rsid w:val="00362247"/>
    <w:rsid w:val="0037037C"/>
    <w:rsid w:val="003A1777"/>
    <w:rsid w:val="003B35CB"/>
    <w:rsid w:val="003D7F8A"/>
    <w:rsid w:val="003E10AF"/>
    <w:rsid w:val="00400F38"/>
    <w:rsid w:val="004012B2"/>
    <w:rsid w:val="004330C3"/>
    <w:rsid w:val="00476D21"/>
    <w:rsid w:val="0049359B"/>
    <w:rsid w:val="00496449"/>
    <w:rsid w:val="004D50A8"/>
    <w:rsid w:val="004E5D3D"/>
    <w:rsid w:val="004F69EC"/>
    <w:rsid w:val="00500909"/>
    <w:rsid w:val="00507EA2"/>
    <w:rsid w:val="005155E4"/>
    <w:rsid w:val="00525708"/>
    <w:rsid w:val="00525CFD"/>
    <w:rsid w:val="00527322"/>
    <w:rsid w:val="00530F7F"/>
    <w:rsid w:val="005354CB"/>
    <w:rsid w:val="005361F9"/>
    <w:rsid w:val="00541352"/>
    <w:rsid w:val="00567628"/>
    <w:rsid w:val="005A065C"/>
    <w:rsid w:val="005C19FF"/>
    <w:rsid w:val="005D3996"/>
    <w:rsid w:val="005E4830"/>
    <w:rsid w:val="005F67F2"/>
    <w:rsid w:val="006366F6"/>
    <w:rsid w:val="00640BCB"/>
    <w:rsid w:val="00643486"/>
    <w:rsid w:val="00682E60"/>
    <w:rsid w:val="00686A0E"/>
    <w:rsid w:val="006D10D4"/>
    <w:rsid w:val="006D3F01"/>
    <w:rsid w:val="00724329"/>
    <w:rsid w:val="0074392D"/>
    <w:rsid w:val="00792718"/>
    <w:rsid w:val="00796D81"/>
    <w:rsid w:val="007B5B13"/>
    <w:rsid w:val="008121A8"/>
    <w:rsid w:val="00840CE6"/>
    <w:rsid w:val="00852CE0"/>
    <w:rsid w:val="0087538B"/>
    <w:rsid w:val="00875BA9"/>
    <w:rsid w:val="008826AB"/>
    <w:rsid w:val="008868C0"/>
    <w:rsid w:val="0089019B"/>
    <w:rsid w:val="008977FB"/>
    <w:rsid w:val="008C4EE4"/>
    <w:rsid w:val="008D0A20"/>
    <w:rsid w:val="008D3335"/>
    <w:rsid w:val="008E0FAC"/>
    <w:rsid w:val="008E7144"/>
    <w:rsid w:val="0090250F"/>
    <w:rsid w:val="00906017"/>
    <w:rsid w:val="009304F9"/>
    <w:rsid w:val="00952787"/>
    <w:rsid w:val="00956DFE"/>
    <w:rsid w:val="009A06B5"/>
    <w:rsid w:val="009A4708"/>
    <w:rsid w:val="009C1173"/>
    <w:rsid w:val="009D2368"/>
    <w:rsid w:val="009E6BE1"/>
    <w:rsid w:val="00A27CFA"/>
    <w:rsid w:val="00A541AA"/>
    <w:rsid w:val="00A5734B"/>
    <w:rsid w:val="00A62112"/>
    <w:rsid w:val="00A62D3E"/>
    <w:rsid w:val="00A86FA2"/>
    <w:rsid w:val="00A8736C"/>
    <w:rsid w:val="00AC1CBE"/>
    <w:rsid w:val="00AC6A38"/>
    <w:rsid w:val="00AD1A3B"/>
    <w:rsid w:val="00AD4829"/>
    <w:rsid w:val="00B134C4"/>
    <w:rsid w:val="00B3215C"/>
    <w:rsid w:val="00B36E99"/>
    <w:rsid w:val="00B4766C"/>
    <w:rsid w:val="00B54C01"/>
    <w:rsid w:val="00B70B81"/>
    <w:rsid w:val="00BA1D81"/>
    <w:rsid w:val="00BB0803"/>
    <w:rsid w:val="00C13824"/>
    <w:rsid w:val="00C25347"/>
    <w:rsid w:val="00C67330"/>
    <w:rsid w:val="00C836EE"/>
    <w:rsid w:val="00CB2BFE"/>
    <w:rsid w:val="00CD459D"/>
    <w:rsid w:val="00D00623"/>
    <w:rsid w:val="00D10EDC"/>
    <w:rsid w:val="00D3027F"/>
    <w:rsid w:val="00D502BA"/>
    <w:rsid w:val="00D62636"/>
    <w:rsid w:val="00D80CE5"/>
    <w:rsid w:val="00D834C7"/>
    <w:rsid w:val="00D86235"/>
    <w:rsid w:val="00DA6ADB"/>
    <w:rsid w:val="00DC0F74"/>
    <w:rsid w:val="00DE1511"/>
    <w:rsid w:val="00DE2BEC"/>
    <w:rsid w:val="00DF0DA2"/>
    <w:rsid w:val="00E2500C"/>
    <w:rsid w:val="00E56394"/>
    <w:rsid w:val="00E6350D"/>
    <w:rsid w:val="00EA4BD5"/>
    <w:rsid w:val="00EE628A"/>
    <w:rsid w:val="00F21A55"/>
    <w:rsid w:val="00F2449A"/>
    <w:rsid w:val="00FA213B"/>
    <w:rsid w:val="00FA5B1F"/>
    <w:rsid w:val="00FE216A"/>
    <w:rsid w:val="00FF1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5BD"/>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2323</TotalTime>
  <Pages>1</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Yuki Okamoto</cp:lastModifiedBy>
  <cp:revision>21</cp:revision>
  <dcterms:created xsi:type="dcterms:W3CDTF">2022-01-24T06:27:00Z</dcterms:created>
  <dcterms:modified xsi:type="dcterms:W3CDTF">2022-06-21T02:46:00Z</dcterms:modified>
</cp:coreProperties>
</file>